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1D" w:rsidRPr="007A3D26" w:rsidRDefault="0036131D" w:rsidP="00FE7A71">
      <w:pPr>
        <w:ind w:left="-432" w:right="-432"/>
        <w:jc w:val="center"/>
        <w:rPr>
          <w:rFonts w:ascii="Arial" w:hAnsi="Arial" w:cs="Arial"/>
          <w:b/>
          <w:sz w:val="28"/>
          <w:szCs w:val="28"/>
        </w:rPr>
      </w:pPr>
      <w:r w:rsidRPr="007A3D26">
        <w:rPr>
          <w:rFonts w:ascii="Arial" w:hAnsi="Arial" w:cs="Arial"/>
          <w:b/>
          <w:sz w:val="28"/>
          <w:szCs w:val="28"/>
        </w:rPr>
        <w:t>Basic Writ Procedure by Type</w:t>
      </w:r>
    </w:p>
    <w:p w:rsidR="0036131D" w:rsidRPr="007A3D26" w:rsidRDefault="0036131D" w:rsidP="00FE7A71">
      <w:p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b/>
          <w:bCs/>
          <w:sz w:val="28"/>
          <w:szCs w:val="28"/>
        </w:rPr>
        <w:t>Article 11.07</w:t>
      </w:r>
      <w:r w:rsidRPr="007A3D26">
        <w:rPr>
          <w:rFonts w:ascii="Arial" w:hAnsi="Arial" w:cs="Arial"/>
          <w:sz w:val="28"/>
          <w:szCs w:val="28"/>
        </w:rPr>
        <w:t xml:space="preserve">: Final Felony Conviction, Non-Death </w:t>
      </w:r>
      <w:r w:rsidRPr="007A3D26">
        <w:rPr>
          <w:rFonts w:ascii="Arial" w:hAnsi="Arial" w:cs="Arial"/>
          <w:sz w:val="28"/>
          <w:szCs w:val="28"/>
        </w:rPr>
        <w:br/>
      </w:r>
      <w:r w:rsidRPr="007A3D26">
        <w:rPr>
          <w:rFonts w:ascii="Arial" w:hAnsi="Arial" w:cs="Arial"/>
          <w:sz w:val="28"/>
          <w:szCs w:val="28"/>
        </w:rPr>
        <w:tab/>
        <w:t>filed in district court and forwarded to CCA</w:t>
      </w:r>
      <w:r w:rsidRPr="007A3D26">
        <w:rPr>
          <w:rFonts w:ascii="Arial" w:hAnsi="Arial" w:cs="Arial"/>
          <w:sz w:val="28"/>
          <w:szCs w:val="28"/>
        </w:rPr>
        <w:br/>
      </w:r>
      <w:r w:rsidRPr="007A3D26">
        <w:rPr>
          <w:rFonts w:ascii="Arial" w:hAnsi="Arial" w:cs="Arial"/>
          <w:b/>
          <w:bCs/>
          <w:sz w:val="28"/>
          <w:szCs w:val="28"/>
        </w:rPr>
        <w:t>Article 11.071</w:t>
      </w:r>
      <w:r w:rsidRPr="007A3D26">
        <w:rPr>
          <w:rFonts w:ascii="Arial" w:hAnsi="Arial" w:cs="Arial"/>
          <w:sz w:val="28"/>
          <w:szCs w:val="28"/>
        </w:rPr>
        <w:t>: Death Penalty</w:t>
      </w:r>
      <w:r w:rsidRPr="007A3D26">
        <w:rPr>
          <w:rFonts w:ascii="Arial" w:hAnsi="Arial" w:cs="Arial"/>
          <w:sz w:val="28"/>
          <w:szCs w:val="28"/>
        </w:rPr>
        <w:br/>
      </w:r>
      <w:r w:rsidRPr="007A3D26">
        <w:rPr>
          <w:rFonts w:ascii="Arial" w:hAnsi="Arial" w:cs="Arial"/>
          <w:sz w:val="28"/>
          <w:szCs w:val="28"/>
        </w:rPr>
        <w:tab/>
        <w:t xml:space="preserve"> filed in district court and forwarded to CCA</w:t>
      </w:r>
      <w:r w:rsidRPr="007A3D26">
        <w:rPr>
          <w:rFonts w:ascii="Arial" w:hAnsi="Arial" w:cs="Arial"/>
          <w:sz w:val="28"/>
          <w:szCs w:val="28"/>
        </w:rPr>
        <w:br/>
      </w:r>
      <w:r w:rsidRPr="007A3D26">
        <w:rPr>
          <w:rFonts w:ascii="Arial" w:hAnsi="Arial" w:cs="Arial"/>
          <w:b/>
          <w:bCs/>
          <w:sz w:val="28"/>
          <w:szCs w:val="28"/>
        </w:rPr>
        <w:t>Article 11.072</w:t>
      </w:r>
      <w:r w:rsidRPr="007A3D26">
        <w:rPr>
          <w:rFonts w:ascii="Arial" w:hAnsi="Arial" w:cs="Arial"/>
          <w:sz w:val="28"/>
          <w:szCs w:val="28"/>
        </w:rPr>
        <w:t>: Community Supervision; felony and misdemeanor order or judgment</w:t>
      </w:r>
      <w:r w:rsidRPr="007A3D26">
        <w:rPr>
          <w:rFonts w:ascii="Arial" w:hAnsi="Arial" w:cs="Arial"/>
          <w:sz w:val="28"/>
          <w:szCs w:val="28"/>
        </w:rPr>
        <w:br/>
      </w:r>
      <w:r w:rsidRPr="007A3D26">
        <w:rPr>
          <w:rFonts w:ascii="Arial" w:hAnsi="Arial" w:cs="Arial"/>
          <w:sz w:val="28"/>
          <w:szCs w:val="28"/>
        </w:rPr>
        <w:tab/>
        <w:t>filed in court supervision was granted and appealed to COA</w:t>
      </w:r>
      <w:r w:rsidRPr="007A3D26">
        <w:rPr>
          <w:rFonts w:ascii="Arial" w:hAnsi="Arial" w:cs="Arial"/>
          <w:sz w:val="28"/>
          <w:szCs w:val="28"/>
        </w:rPr>
        <w:br/>
      </w:r>
      <w:r w:rsidRPr="007A3D26">
        <w:rPr>
          <w:rFonts w:ascii="Arial" w:hAnsi="Arial" w:cs="Arial"/>
          <w:b/>
          <w:bCs/>
          <w:sz w:val="28"/>
          <w:szCs w:val="28"/>
        </w:rPr>
        <w:t>Article 11.073</w:t>
      </w:r>
      <w:r w:rsidRPr="007A3D26">
        <w:rPr>
          <w:rFonts w:ascii="Arial" w:hAnsi="Arial" w:cs="Arial"/>
          <w:sz w:val="28"/>
          <w:szCs w:val="28"/>
        </w:rPr>
        <w:t>: Scientific Evidence</w:t>
      </w:r>
      <w:r w:rsidRPr="007A3D26">
        <w:rPr>
          <w:rFonts w:ascii="Arial" w:hAnsi="Arial" w:cs="Arial"/>
          <w:sz w:val="28"/>
          <w:szCs w:val="28"/>
        </w:rPr>
        <w:br/>
      </w:r>
      <w:r w:rsidRPr="007A3D26">
        <w:rPr>
          <w:rFonts w:ascii="Arial" w:hAnsi="Arial" w:cs="Arial"/>
          <w:sz w:val="28"/>
          <w:szCs w:val="28"/>
        </w:rPr>
        <w:tab/>
        <w:t>apply procedures for 11.07, 11.071, and 11.072</w:t>
      </w:r>
      <w:r w:rsidRPr="007A3D26">
        <w:rPr>
          <w:rFonts w:ascii="Arial" w:hAnsi="Arial" w:cs="Arial"/>
          <w:sz w:val="28"/>
          <w:szCs w:val="28"/>
        </w:rPr>
        <w:br/>
      </w:r>
      <w:r w:rsidRPr="007A3D26">
        <w:rPr>
          <w:rFonts w:ascii="Arial" w:hAnsi="Arial" w:cs="Arial"/>
          <w:b/>
          <w:bCs/>
          <w:sz w:val="28"/>
          <w:szCs w:val="28"/>
        </w:rPr>
        <w:t>Article 11.08</w:t>
      </w:r>
      <w:r w:rsidRPr="007A3D26">
        <w:rPr>
          <w:rFonts w:ascii="Arial" w:hAnsi="Arial" w:cs="Arial"/>
          <w:sz w:val="28"/>
          <w:szCs w:val="28"/>
        </w:rPr>
        <w:t>:  Charged with Felony and Confined</w:t>
      </w:r>
      <w:r w:rsidRPr="007A3D26">
        <w:rPr>
          <w:rFonts w:ascii="Arial" w:hAnsi="Arial" w:cs="Arial"/>
          <w:sz w:val="28"/>
          <w:szCs w:val="28"/>
        </w:rPr>
        <w:br/>
      </w:r>
      <w:r w:rsidRPr="007A3D26">
        <w:rPr>
          <w:rFonts w:ascii="Arial" w:hAnsi="Arial" w:cs="Arial"/>
          <w:sz w:val="28"/>
          <w:szCs w:val="28"/>
        </w:rPr>
        <w:tab/>
        <w:t>filed in court charged, or district of residence of nearest judge</w:t>
      </w:r>
      <w:r w:rsidRPr="007A3D26">
        <w:rPr>
          <w:rFonts w:ascii="Arial" w:hAnsi="Arial" w:cs="Arial"/>
          <w:sz w:val="28"/>
          <w:szCs w:val="28"/>
        </w:rPr>
        <w:br/>
      </w:r>
      <w:r w:rsidRPr="007A3D26">
        <w:rPr>
          <w:rFonts w:ascii="Arial" w:hAnsi="Arial" w:cs="Arial"/>
          <w:b/>
          <w:bCs/>
          <w:sz w:val="28"/>
          <w:szCs w:val="28"/>
        </w:rPr>
        <w:t>Article 11.09</w:t>
      </w:r>
      <w:r w:rsidRPr="007A3D26">
        <w:rPr>
          <w:rFonts w:ascii="Arial" w:hAnsi="Arial" w:cs="Arial"/>
          <w:sz w:val="28"/>
          <w:szCs w:val="28"/>
        </w:rPr>
        <w:t>: Charged with Misdemeanor and Confined</w:t>
      </w:r>
      <w:r w:rsidRPr="007A3D26">
        <w:rPr>
          <w:rFonts w:ascii="Arial" w:hAnsi="Arial" w:cs="Arial"/>
          <w:sz w:val="28"/>
          <w:szCs w:val="28"/>
        </w:rPr>
        <w:br/>
      </w:r>
      <w:r w:rsidRPr="007A3D26">
        <w:rPr>
          <w:rFonts w:ascii="Arial" w:hAnsi="Arial" w:cs="Arial"/>
          <w:sz w:val="28"/>
          <w:szCs w:val="28"/>
        </w:rPr>
        <w:tab/>
        <w:t>filed in county charged, or county of residence of nearest judge</w:t>
      </w:r>
    </w:p>
    <w:p w:rsidR="00F85EF9" w:rsidRPr="007A3D26" w:rsidRDefault="00F85EF9" w:rsidP="00FE7A71">
      <w:pPr>
        <w:ind w:left="-432" w:right="-432"/>
        <w:rPr>
          <w:rFonts w:ascii="Arial" w:hAnsi="Arial" w:cs="Arial"/>
          <w:b/>
          <w:sz w:val="28"/>
          <w:szCs w:val="28"/>
        </w:rPr>
      </w:pPr>
    </w:p>
    <w:p w:rsidR="0036131D" w:rsidRPr="007A3D26" w:rsidRDefault="0036131D" w:rsidP="00FE7A71">
      <w:pPr>
        <w:ind w:left="-432" w:right="-432"/>
        <w:jc w:val="center"/>
        <w:rPr>
          <w:rFonts w:ascii="Arial" w:hAnsi="Arial" w:cs="Arial"/>
          <w:b/>
          <w:sz w:val="28"/>
          <w:szCs w:val="28"/>
        </w:rPr>
      </w:pPr>
      <w:r w:rsidRPr="007A3D26">
        <w:rPr>
          <w:rFonts w:ascii="Arial" w:hAnsi="Arial" w:cs="Arial"/>
          <w:b/>
          <w:sz w:val="28"/>
          <w:szCs w:val="28"/>
        </w:rPr>
        <w:t xml:space="preserve">11.07 </w:t>
      </w:r>
      <w:r w:rsidR="000673E3" w:rsidRPr="007A3D26">
        <w:rPr>
          <w:rFonts w:ascii="Arial" w:hAnsi="Arial" w:cs="Arial"/>
          <w:b/>
          <w:sz w:val="28"/>
          <w:szCs w:val="28"/>
        </w:rPr>
        <w:t xml:space="preserve">Due Date </w:t>
      </w:r>
      <w:r w:rsidRPr="007A3D26">
        <w:rPr>
          <w:rFonts w:ascii="Arial" w:hAnsi="Arial" w:cs="Arial"/>
          <w:b/>
          <w:sz w:val="28"/>
          <w:szCs w:val="28"/>
        </w:rPr>
        <w:t>Checklist</w:t>
      </w:r>
    </w:p>
    <w:p w:rsidR="0036131D" w:rsidRPr="007A3D26" w:rsidRDefault="0036131D" w:rsidP="00FE7A71">
      <w:pPr>
        <w:pStyle w:val="ListParagraph"/>
        <w:numPr>
          <w:ilvl w:val="0"/>
          <w:numId w:val="1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Has it been filed in the convicting district court?</w:t>
      </w:r>
    </w:p>
    <w:p w:rsidR="0036131D" w:rsidRPr="007A3D26" w:rsidRDefault="0036131D" w:rsidP="00FE7A71">
      <w:pPr>
        <w:pStyle w:val="ListParagraph"/>
        <w:numPr>
          <w:ilvl w:val="0"/>
          <w:numId w:val="1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Has the application been served on the prosecutor’s office?</w:t>
      </w:r>
    </w:p>
    <w:p w:rsidR="0036131D" w:rsidRPr="007A3D26" w:rsidRDefault="0036131D" w:rsidP="00220345">
      <w:pPr>
        <w:pStyle w:val="ListParagraph"/>
        <w:numPr>
          <w:ilvl w:val="1"/>
          <w:numId w:val="1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 xml:space="preserve">If not, the time deadlines have not been triggered.  </w:t>
      </w:r>
    </w:p>
    <w:p w:rsidR="0036131D" w:rsidRPr="007A3D26" w:rsidRDefault="0036131D" w:rsidP="00FE7A71">
      <w:pPr>
        <w:pStyle w:val="ListParagraph"/>
        <w:numPr>
          <w:ilvl w:val="0"/>
          <w:numId w:val="2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Has the State filed a response 15 days after being serve</w:t>
      </w:r>
      <w:r w:rsidR="00EA0C34">
        <w:rPr>
          <w:rFonts w:ascii="Arial" w:hAnsi="Arial" w:cs="Arial"/>
          <w:sz w:val="28"/>
          <w:szCs w:val="28"/>
        </w:rPr>
        <w:t>d</w:t>
      </w:r>
      <w:r w:rsidRPr="007A3D26">
        <w:rPr>
          <w:rFonts w:ascii="Arial" w:hAnsi="Arial" w:cs="Arial"/>
          <w:sz w:val="28"/>
          <w:szCs w:val="28"/>
        </w:rPr>
        <w:t xml:space="preserve">? </w:t>
      </w:r>
    </w:p>
    <w:p w:rsidR="00F85EF9" w:rsidRPr="007A3D26" w:rsidRDefault="00F85EF9" w:rsidP="00FE7A71">
      <w:pPr>
        <w:pStyle w:val="ListParagraph"/>
        <w:numPr>
          <w:ilvl w:val="0"/>
          <w:numId w:val="2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Did the trial court determine whether there are controverted, unresolved issues?</w:t>
      </w:r>
    </w:p>
    <w:p w:rsidR="00F85EF9" w:rsidRPr="007A3D26" w:rsidRDefault="00F85EF9" w:rsidP="00FE7A71">
      <w:pPr>
        <w:pStyle w:val="ListParagraph"/>
        <w:numPr>
          <w:ilvl w:val="0"/>
          <w:numId w:val="2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Options for the 20 days during which the court can act?</w:t>
      </w:r>
    </w:p>
    <w:p w:rsidR="00F85EF9" w:rsidRPr="007A3D26" w:rsidRDefault="00F85EF9" w:rsidP="00220345">
      <w:pPr>
        <w:pStyle w:val="ListParagraph"/>
        <w:numPr>
          <w:ilvl w:val="1"/>
          <w:numId w:val="2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The Clerk can wait 20 days for the court to act.</w:t>
      </w:r>
    </w:p>
    <w:p w:rsidR="00F85EF9" w:rsidRPr="007A3D26" w:rsidRDefault="00F85EF9" w:rsidP="00220345">
      <w:pPr>
        <w:pStyle w:val="ListParagraph"/>
        <w:numPr>
          <w:ilvl w:val="1"/>
          <w:numId w:val="2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 xml:space="preserve">If the court has acted within the 20 days, forward the habeas record to the CCA.  </w:t>
      </w:r>
    </w:p>
    <w:p w:rsidR="00F85EF9" w:rsidRPr="007A3D26" w:rsidRDefault="00F85EF9" w:rsidP="00220345">
      <w:pPr>
        <w:pStyle w:val="ListParagraph"/>
        <w:numPr>
          <w:ilvl w:val="1"/>
          <w:numId w:val="2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 xml:space="preserve">If the court has not acted, ask the judge whether he/she intends to do so. </w:t>
      </w:r>
    </w:p>
    <w:p w:rsidR="00F85EF9" w:rsidRPr="007A3D26" w:rsidRDefault="00F85EF9" w:rsidP="00FE7A71">
      <w:pPr>
        <w:pStyle w:val="ListParagraph"/>
        <w:numPr>
          <w:ilvl w:val="0"/>
          <w:numId w:val="3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Did the court enter an order designating issues within 20 days after the State’s 15 days has expired (regardless of whether the State actually responded)?</w:t>
      </w:r>
    </w:p>
    <w:p w:rsidR="00F85EF9" w:rsidRPr="007A3D26" w:rsidRDefault="00F85EF9" w:rsidP="00220345">
      <w:pPr>
        <w:pStyle w:val="ListParagraph"/>
        <w:numPr>
          <w:ilvl w:val="1"/>
          <w:numId w:val="3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 xml:space="preserve">Did you forward a copy of the ODI to the CCA? </w:t>
      </w:r>
    </w:p>
    <w:p w:rsidR="009A36A3" w:rsidRPr="007A3D26" w:rsidRDefault="009A36A3" w:rsidP="00FE7A71">
      <w:pPr>
        <w:pStyle w:val="ListParagraph"/>
        <w:numPr>
          <w:ilvl w:val="0"/>
          <w:numId w:val="3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If an evidentiary hearing is scheduled, did you give the State 7 days’ notice?</w:t>
      </w:r>
    </w:p>
    <w:p w:rsidR="009A36A3" w:rsidRPr="007A3D26" w:rsidRDefault="009A36A3" w:rsidP="00FE7A71">
      <w:pPr>
        <w:pStyle w:val="ListParagraph"/>
        <w:numPr>
          <w:ilvl w:val="0"/>
          <w:numId w:val="3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Did the court meet its 180-day deadline to resolve the issues?  This time period includes the State’s 15 days and the court</w:t>
      </w:r>
      <w:r w:rsidR="007D2D36">
        <w:rPr>
          <w:rFonts w:ascii="Arial" w:hAnsi="Arial" w:cs="Arial"/>
          <w:sz w:val="28"/>
          <w:szCs w:val="28"/>
        </w:rPr>
        <w:t>’</w:t>
      </w:r>
      <w:r w:rsidRPr="007A3D26">
        <w:rPr>
          <w:rFonts w:ascii="Arial" w:hAnsi="Arial" w:cs="Arial"/>
          <w:sz w:val="28"/>
          <w:szCs w:val="28"/>
        </w:rPr>
        <w:t xml:space="preserve">s 20. </w:t>
      </w:r>
    </w:p>
    <w:p w:rsidR="009A36A3" w:rsidRPr="007A3D26" w:rsidRDefault="009A36A3" w:rsidP="00FE7A71">
      <w:pPr>
        <w:pStyle w:val="ListParagraph"/>
        <w:numPr>
          <w:ilvl w:val="1"/>
          <w:numId w:val="3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If the court cannot comply, did you request an extension of time from the CCA?  You can seek an extension before the 180-day period expires.</w:t>
      </w:r>
    </w:p>
    <w:p w:rsidR="009A36A3" w:rsidRPr="007A3D26" w:rsidRDefault="009A36A3" w:rsidP="00FE7A71">
      <w:pPr>
        <w:pStyle w:val="ListParagraph"/>
        <w:numPr>
          <w:ilvl w:val="0"/>
          <w:numId w:val="5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lastRenderedPageBreak/>
        <w:t>If no extension was requested and granted, have you forwarded the record to the CCA within 181 days?</w:t>
      </w:r>
    </w:p>
    <w:p w:rsidR="009A36A3" w:rsidRPr="007A3D26" w:rsidRDefault="009A36A3" w:rsidP="00FE7A71">
      <w:pPr>
        <w:pStyle w:val="ListParagraph"/>
        <w:numPr>
          <w:ilvl w:val="0"/>
          <w:numId w:val="5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If the Court entered findings and conclusions after the 181-day time-period, have you forwarded them to the CCA?</w:t>
      </w:r>
    </w:p>
    <w:p w:rsidR="00FE7A71" w:rsidRPr="007A3D26" w:rsidRDefault="00FE7A71" w:rsidP="00FE7A71">
      <w:pPr>
        <w:pStyle w:val="ListParagraph"/>
        <w:numPr>
          <w:ilvl w:val="0"/>
          <w:numId w:val="5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If you forwarded the record electronically, did you send paper copies within 3 days?</w:t>
      </w:r>
    </w:p>
    <w:p w:rsidR="009A36A3" w:rsidRPr="007A3D26" w:rsidRDefault="009A36A3" w:rsidP="00FE7A71">
      <w:pPr>
        <w:pStyle w:val="ListParagraph"/>
        <w:numPr>
          <w:ilvl w:val="0"/>
          <w:numId w:val="5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Have you served the parties with the findings and conclusions?  This includ</w:t>
      </w:r>
      <w:r w:rsidR="00FE7A71" w:rsidRPr="007A3D26">
        <w:rPr>
          <w:rFonts w:ascii="Arial" w:hAnsi="Arial" w:cs="Arial"/>
          <w:sz w:val="28"/>
          <w:szCs w:val="28"/>
        </w:rPr>
        <w:t>es the applicant</w:t>
      </w:r>
      <w:r w:rsidRPr="007A3D26">
        <w:rPr>
          <w:rFonts w:ascii="Arial" w:hAnsi="Arial" w:cs="Arial"/>
          <w:sz w:val="28"/>
          <w:szCs w:val="28"/>
        </w:rPr>
        <w:t xml:space="preserve">. </w:t>
      </w:r>
    </w:p>
    <w:p w:rsidR="007D2D36" w:rsidRDefault="009A36A3" w:rsidP="007D2D36">
      <w:pPr>
        <w:pStyle w:val="ListParagraph"/>
        <w:numPr>
          <w:ilvl w:val="1"/>
          <w:numId w:val="5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If a party files objections, are they timely---10 days after the party receiv</w:t>
      </w:r>
      <w:r w:rsidR="000673E3" w:rsidRPr="007A3D26">
        <w:rPr>
          <w:rFonts w:ascii="Arial" w:hAnsi="Arial" w:cs="Arial"/>
          <w:sz w:val="28"/>
          <w:szCs w:val="28"/>
        </w:rPr>
        <w:t>ed the findings and conclusions.</w:t>
      </w:r>
      <w:r w:rsidR="007D2D36">
        <w:rPr>
          <w:rFonts w:ascii="Arial" w:hAnsi="Arial" w:cs="Arial"/>
          <w:sz w:val="28"/>
          <w:szCs w:val="28"/>
        </w:rPr>
        <w:t xml:space="preserve">  </w:t>
      </w:r>
    </w:p>
    <w:p w:rsidR="000673E3" w:rsidRPr="007D2D36" w:rsidRDefault="000673E3" w:rsidP="007D2D36">
      <w:pPr>
        <w:pStyle w:val="ListParagraph"/>
        <w:numPr>
          <w:ilvl w:val="0"/>
          <w:numId w:val="5"/>
        </w:numPr>
        <w:ind w:right="-432"/>
        <w:rPr>
          <w:rFonts w:ascii="Arial" w:hAnsi="Arial" w:cs="Arial"/>
          <w:sz w:val="28"/>
          <w:szCs w:val="28"/>
        </w:rPr>
      </w:pPr>
      <w:r w:rsidRPr="007D2D36">
        <w:rPr>
          <w:rFonts w:ascii="Arial" w:hAnsi="Arial" w:cs="Arial"/>
          <w:sz w:val="28"/>
          <w:szCs w:val="28"/>
        </w:rPr>
        <w:t xml:space="preserve">Forward timely and untimely objections to the CCA.  </w:t>
      </w:r>
    </w:p>
    <w:p w:rsidR="007A3D26" w:rsidRDefault="007A3D26" w:rsidP="004D3A3E">
      <w:pPr>
        <w:ind w:left="-432" w:right="-432"/>
        <w:jc w:val="center"/>
        <w:rPr>
          <w:rFonts w:ascii="Arial" w:hAnsi="Arial" w:cs="Arial"/>
          <w:b/>
          <w:sz w:val="28"/>
          <w:szCs w:val="28"/>
        </w:rPr>
      </w:pPr>
    </w:p>
    <w:p w:rsidR="000673E3" w:rsidRPr="007A3D26" w:rsidRDefault="00FE7A71" w:rsidP="004D3A3E">
      <w:pPr>
        <w:ind w:left="-432" w:right="-432"/>
        <w:jc w:val="center"/>
        <w:rPr>
          <w:rFonts w:ascii="Arial" w:hAnsi="Arial" w:cs="Arial"/>
          <w:b/>
          <w:sz w:val="28"/>
          <w:szCs w:val="28"/>
        </w:rPr>
      </w:pPr>
      <w:r w:rsidRPr="007A3D26">
        <w:rPr>
          <w:rFonts w:ascii="Arial" w:hAnsi="Arial" w:cs="Arial"/>
          <w:b/>
          <w:sz w:val="28"/>
          <w:szCs w:val="28"/>
        </w:rPr>
        <w:t>11.07 Checklist for Remanded Applications</w:t>
      </w:r>
    </w:p>
    <w:p w:rsidR="007D2D36" w:rsidRDefault="00FE7A71" w:rsidP="007D2D36">
      <w:pPr>
        <w:pStyle w:val="ListParagraph"/>
        <w:numPr>
          <w:ilvl w:val="0"/>
          <w:numId w:val="6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Did the court resolve the issues designated by the CCA wi</w:t>
      </w:r>
      <w:r w:rsidR="007D2D36">
        <w:rPr>
          <w:rFonts w:ascii="Arial" w:hAnsi="Arial" w:cs="Arial"/>
          <w:sz w:val="28"/>
          <w:szCs w:val="28"/>
        </w:rPr>
        <w:t>thin 90 days of the CCA’s order?</w:t>
      </w:r>
    </w:p>
    <w:p w:rsidR="00FE7A71" w:rsidRPr="007D2D36" w:rsidRDefault="00FE7A71" w:rsidP="007D2D36">
      <w:pPr>
        <w:pStyle w:val="ListParagraph"/>
        <w:numPr>
          <w:ilvl w:val="0"/>
          <w:numId w:val="6"/>
        </w:numPr>
        <w:ind w:right="-432"/>
        <w:rPr>
          <w:rFonts w:ascii="Arial" w:hAnsi="Arial" w:cs="Arial"/>
          <w:sz w:val="28"/>
          <w:szCs w:val="28"/>
        </w:rPr>
      </w:pPr>
      <w:r w:rsidRPr="007D2D36">
        <w:rPr>
          <w:rFonts w:ascii="Arial" w:hAnsi="Arial" w:cs="Arial"/>
          <w:sz w:val="28"/>
          <w:szCs w:val="28"/>
        </w:rPr>
        <w:t xml:space="preserve">If the trial court cannot act in that </w:t>
      </w:r>
      <w:r w:rsidR="00AB5C3E" w:rsidRPr="007D2D36">
        <w:rPr>
          <w:rFonts w:ascii="Arial" w:hAnsi="Arial" w:cs="Arial"/>
          <w:sz w:val="28"/>
          <w:szCs w:val="28"/>
        </w:rPr>
        <w:t xml:space="preserve">period of </w:t>
      </w:r>
      <w:r w:rsidRPr="007D2D36">
        <w:rPr>
          <w:rFonts w:ascii="Arial" w:hAnsi="Arial" w:cs="Arial"/>
          <w:sz w:val="28"/>
          <w:szCs w:val="28"/>
        </w:rPr>
        <w:t>time, request an extension from the CCA.</w:t>
      </w:r>
    </w:p>
    <w:p w:rsidR="00FE7A71" w:rsidRPr="007A3D26" w:rsidRDefault="00FE7A71" w:rsidP="004D3A3E">
      <w:pPr>
        <w:pStyle w:val="ListParagraph"/>
        <w:numPr>
          <w:ilvl w:val="0"/>
          <w:numId w:val="6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Have you supplemented the record with new filings within 120 days from the CCA’s order?</w:t>
      </w:r>
    </w:p>
    <w:p w:rsidR="00AB5C3E" w:rsidRPr="007A3D26" w:rsidRDefault="00AB5C3E" w:rsidP="004D3A3E">
      <w:pPr>
        <w:pStyle w:val="ListParagraph"/>
        <w:ind w:left="-432" w:right="-432"/>
        <w:rPr>
          <w:rFonts w:ascii="Arial" w:hAnsi="Arial" w:cs="Arial"/>
          <w:sz w:val="28"/>
          <w:szCs w:val="28"/>
        </w:rPr>
      </w:pPr>
    </w:p>
    <w:p w:rsidR="00265511" w:rsidRPr="007A3D26" w:rsidRDefault="007A3D26" w:rsidP="004D3A3E">
      <w:pPr>
        <w:ind w:left="-432" w:right="-4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Procedures After an 11.07 Application has B</w:t>
      </w:r>
      <w:r w:rsidR="00AB5C3E" w:rsidRPr="007A3D26">
        <w:rPr>
          <w:rFonts w:ascii="Arial" w:hAnsi="Arial" w:cs="Arial"/>
          <w:b/>
          <w:sz w:val="28"/>
          <w:szCs w:val="28"/>
        </w:rPr>
        <w:t>een Forwarded to the CCA</w:t>
      </w:r>
    </w:p>
    <w:p w:rsidR="00AB5C3E" w:rsidRPr="007A3D26" w:rsidRDefault="00AB5C3E" w:rsidP="004D3A3E">
      <w:pPr>
        <w:pStyle w:val="ListParagraph"/>
        <w:numPr>
          <w:ilvl w:val="0"/>
          <w:numId w:val="9"/>
        </w:numPr>
        <w:ind w:left="-432" w:right="-432"/>
        <w:rPr>
          <w:rFonts w:ascii="Arial" w:hAnsi="Arial" w:cs="Arial"/>
          <w:b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If a party wants to file additiona</w:t>
      </w:r>
      <w:r w:rsidR="00265511" w:rsidRPr="007A3D26">
        <w:rPr>
          <w:rFonts w:ascii="Arial" w:hAnsi="Arial" w:cs="Arial"/>
          <w:sz w:val="28"/>
          <w:szCs w:val="28"/>
        </w:rPr>
        <w:t>l evidence in the district court, has the party received permission from the CCA?</w:t>
      </w:r>
    </w:p>
    <w:p w:rsidR="006D02D0" w:rsidRPr="007A3D26" w:rsidRDefault="00265511" w:rsidP="004D3A3E">
      <w:pPr>
        <w:pStyle w:val="ListParagraph"/>
        <w:numPr>
          <w:ilvl w:val="1"/>
          <w:numId w:val="9"/>
        </w:numPr>
        <w:ind w:right="-432"/>
        <w:rPr>
          <w:rFonts w:ascii="Arial" w:hAnsi="Arial" w:cs="Arial"/>
          <w:b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If yes, then accept the do</w:t>
      </w:r>
      <w:r w:rsidR="006D02D0" w:rsidRPr="007A3D26">
        <w:rPr>
          <w:rFonts w:ascii="Arial" w:hAnsi="Arial" w:cs="Arial"/>
          <w:sz w:val="28"/>
          <w:szCs w:val="28"/>
        </w:rPr>
        <w:t xml:space="preserve">cuments and immediately provide </w:t>
      </w:r>
      <w:r w:rsidRPr="007A3D26">
        <w:rPr>
          <w:rFonts w:ascii="Arial" w:hAnsi="Arial" w:cs="Arial"/>
          <w:sz w:val="28"/>
          <w:szCs w:val="28"/>
        </w:rPr>
        <w:t xml:space="preserve">copies to the district court and any other parties.  </w:t>
      </w:r>
    </w:p>
    <w:p w:rsidR="006D02D0" w:rsidRPr="007A3D26" w:rsidRDefault="006D02D0" w:rsidP="004D3A3E">
      <w:pPr>
        <w:pStyle w:val="ListParagraph"/>
        <w:numPr>
          <w:ilvl w:val="0"/>
          <w:numId w:val="9"/>
        </w:numPr>
        <w:ind w:left="-432" w:right="-432"/>
        <w:rPr>
          <w:rFonts w:ascii="Arial" w:hAnsi="Arial" w:cs="Arial"/>
          <w:b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If the CCA filed and se</w:t>
      </w:r>
      <w:bookmarkStart w:id="0" w:name="_GoBack"/>
      <w:bookmarkEnd w:id="0"/>
      <w:r w:rsidRPr="007A3D26">
        <w:rPr>
          <w:rFonts w:ascii="Arial" w:hAnsi="Arial" w:cs="Arial"/>
          <w:sz w:val="28"/>
          <w:szCs w:val="28"/>
        </w:rPr>
        <w:t xml:space="preserve">t the case for submission, </w:t>
      </w:r>
      <w:r w:rsidR="002D4B48" w:rsidRPr="007A3D26">
        <w:rPr>
          <w:rFonts w:ascii="Arial" w:hAnsi="Arial" w:cs="Arial"/>
          <w:sz w:val="28"/>
          <w:szCs w:val="28"/>
        </w:rPr>
        <w:t xml:space="preserve">has the </w:t>
      </w:r>
      <w:r w:rsidRPr="007A3D26">
        <w:rPr>
          <w:rFonts w:ascii="Arial" w:hAnsi="Arial" w:cs="Arial"/>
          <w:sz w:val="28"/>
          <w:szCs w:val="28"/>
        </w:rPr>
        <w:t xml:space="preserve">party </w:t>
      </w:r>
      <w:r w:rsidR="002D4B48" w:rsidRPr="007A3D26">
        <w:rPr>
          <w:rFonts w:ascii="Arial" w:hAnsi="Arial" w:cs="Arial"/>
          <w:sz w:val="28"/>
          <w:szCs w:val="28"/>
        </w:rPr>
        <w:t xml:space="preserve">received </w:t>
      </w:r>
      <w:r w:rsidRPr="007A3D26">
        <w:rPr>
          <w:rFonts w:ascii="Arial" w:hAnsi="Arial" w:cs="Arial"/>
          <w:sz w:val="28"/>
          <w:szCs w:val="28"/>
        </w:rPr>
        <w:t xml:space="preserve">permission </w:t>
      </w:r>
      <w:r w:rsidR="002D4B48" w:rsidRPr="007A3D26">
        <w:rPr>
          <w:rFonts w:ascii="Arial" w:hAnsi="Arial" w:cs="Arial"/>
          <w:sz w:val="28"/>
          <w:szCs w:val="28"/>
        </w:rPr>
        <w:t>from the CCA to file additional evidence?</w:t>
      </w:r>
      <w:r w:rsidRPr="007A3D26">
        <w:rPr>
          <w:rFonts w:ascii="Arial" w:hAnsi="Arial" w:cs="Arial"/>
          <w:sz w:val="28"/>
          <w:szCs w:val="28"/>
        </w:rPr>
        <w:t xml:space="preserve">  </w:t>
      </w:r>
    </w:p>
    <w:p w:rsidR="004D3A3E" w:rsidRPr="007A3D26" w:rsidRDefault="006D02D0" w:rsidP="004D3A3E">
      <w:pPr>
        <w:pStyle w:val="ListParagraph"/>
        <w:numPr>
          <w:ilvl w:val="1"/>
          <w:numId w:val="9"/>
        </w:numPr>
        <w:ind w:right="-432"/>
        <w:rPr>
          <w:rFonts w:ascii="Arial" w:hAnsi="Arial" w:cs="Arial"/>
          <w:b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 xml:space="preserve">If </w:t>
      </w:r>
      <w:r w:rsidR="002D4B48" w:rsidRPr="007A3D26">
        <w:rPr>
          <w:rFonts w:ascii="Arial" w:hAnsi="Arial" w:cs="Arial"/>
          <w:sz w:val="28"/>
          <w:szCs w:val="28"/>
        </w:rPr>
        <w:t xml:space="preserve">yes, </w:t>
      </w:r>
      <w:r w:rsidRPr="007A3D26">
        <w:rPr>
          <w:rFonts w:ascii="Arial" w:hAnsi="Arial" w:cs="Arial"/>
          <w:sz w:val="28"/>
          <w:szCs w:val="28"/>
        </w:rPr>
        <w:t>you must immediately serve copies on other parties and the trial court judge.</w:t>
      </w:r>
    </w:p>
    <w:p w:rsidR="004D3A3E" w:rsidRPr="007A3D26" w:rsidRDefault="004D3A3E" w:rsidP="004D3A3E">
      <w:pPr>
        <w:pStyle w:val="ListParagraph"/>
        <w:ind w:left="-432" w:right="-432"/>
        <w:rPr>
          <w:rFonts w:ascii="Arial" w:hAnsi="Arial" w:cs="Arial"/>
          <w:b/>
          <w:sz w:val="28"/>
          <w:szCs w:val="28"/>
        </w:rPr>
      </w:pPr>
    </w:p>
    <w:p w:rsidR="007A3D26" w:rsidRDefault="007A3D2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6D02D0" w:rsidRPr="007A3D26" w:rsidRDefault="007A3D26" w:rsidP="004D3A3E">
      <w:pPr>
        <w:ind w:left="-432" w:right="-4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Required to be Sent to the CCA.</w:t>
      </w:r>
    </w:p>
    <w:p w:rsidR="006D02D0" w:rsidRPr="007A3D26" w:rsidRDefault="004D3A3E" w:rsidP="004D3A3E">
      <w:pPr>
        <w:pStyle w:val="ListParagraph"/>
        <w:numPr>
          <w:ilvl w:val="0"/>
          <w:numId w:val="10"/>
        </w:numPr>
        <w:ind w:left="-432" w:right="-432"/>
        <w:rPr>
          <w:rFonts w:ascii="Arial" w:hAnsi="Arial" w:cs="Arial"/>
          <w:b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Clerk’s summary sheet, which includes:</w:t>
      </w:r>
    </w:p>
    <w:p w:rsidR="004D3A3E" w:rsidRPr="007D2D36" w:rsidRDefault="004D3A3E" w:rsidP="007D2D36">
      <w:pPr>
        <w:pStyle w:val="ListParagraph"/>
        <w:numPr>
          <w:ilvl w:val="0"/>
          <w:numId w:val="13"/>
        </w:numPr>
        <w:ind w:right="-432"/>
        <w:rPr>
          <w:rFonts w:ascii="Arial" w:hAnsi="Arial" w:cs="Arial"/>
          <w:sz w:val="28"/>
          <w:szCs w:val="28"/>
        </w:rPr>
      </w:pPr>
      <w:r w:rsidRPr="007D2D36">
        <w:rPr>
          <w:rFonts w:ascii="Arial" w:hAnsi="Arial" w:cs="Arial"/>
          <w:sz w:val="28"/>
          <w:szCs w:val="28"/>
        </w:rPr>
        <w:t xml:space="preserve">Convicting court, county, name of convicting Judge </w:t>
      </w:r>
    </w:p>
    <w:p w:rsidR="004D3A3E" w:rsidRPr="007A3D26" w:rsidRDefault="004D3A3E" w:rsidP="007D2D36">
      <w:pPr>
        <w:pStyle w:val="ListParagraph"/>
        <w:numPr>
          <w:ilvl w:val="0"/>
          <w:numId w:val="10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Applicant’s name, offense, plea, cause number, sentence, date of sentence</w:t>
      </w:r>
    </w:p>
    <w:p w:rsidR="004D3A3E" w:rsidRPr="007A3D26" w:rsidRDefault="004D3A3E" w:rsidP="007D2D36">
      <w:pPr>
        <w:pStyle w:val="ListParagraph"/>
        <w:numPr>
          <w:ilvl w:val="0"/>
          <w:numId w:val="10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Appellate cause number and citation to published decision</w:t>
      </w:r>
    </w:p>
    <w:p w:rsidR="004D3A3E" w:rsidRPr="007A3D26" w:rsidRDefault="004D3A3E" w:rsidP="007D2D36">
      <w:pPr>
        <w:pStyle w:val="ListParagraph"/>
        <w:numPr>
          <w:ilvl w:val="0"/>
          <w:numId w:val="10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Whether an evidentiary hearing was held, whether there are findings and conclusion and objections, and what the habeas court recommends</w:t>
      </w:r>
    </w:p>
    <w:p w:rsidR="004D3A3E" w:rsidRPr="007A3D26" w:rsidRDefault="004D3A3E" w:rsidP="007D2D36">
      <w:pPr>
        <w:pStyle w:val="ListParagraph"/>
        <w:numPr>
          <w:ilvl w:val="0"/>
          <w:numId w:val="10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 xml:space="preserve">The name of habeas counsel, if applicable  </w:t>
      </w:r>
    </w:p>
    <w:p w:rsidR="004D3A3E" w:rsidRPr="007A3D26" w:rsidRDefault="004D3A3E" w:rsidP="004D3A3E">
      <w:pPr>
        <w:pStyle w:val="ListParagraph"/>
        <w:numPr>
          <w:ilvl w:val="0"/>
          <w:numId w:val="10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Documents always included:</w:t>
      </w:r>
    </w:p>
    <w:p w:rsidR="00F74AFA" w:rsidRPr="007A3D26" w:rsidRDefault="007A3D26" w:rsidP="007D2D36">
      <w:pPr>
        <w:pStyle w:val="ListParagraph"/>
        <w:numPr>
          <w:ilvl w:val="0"/>
          <w:numId w:val="10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Application and Memorandum</w:t>
      </w:r>
    </w:p>
    <w:p w:rsidR="00F74AFA" w:rsidRPr="007A3D26" w:rsidRDefault="007A3D26" w:rsidP="007D2D36">
      <w:pPr>
        <w:pStyle w:val="ListParagraph"/>
        <w:numPr>
          <w:ilvl w:val="0"/>
          <w:numId w:val="10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Indictment or Information</w:t>
      </w:r>
    </w:p>
    <w:p w:rsidR="00F74AFA" w:rsidRPr="007A3D26" w:rsidRDefault="007A3D26" w:rsidP="007D2D36">
      <w:pPr>
        <w:pStyle w:val="ListParagraph"/>
        <w:numPr>
          <w:ilvl w:val="0"/>
          <w:numId w:val="10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Plea Papers</w:t>
      </w:r>
    </w:p>
    <w:p w:rsidR="00F74AFA" w:rsidRPr="007A3D26" w:rsidRDefault="007A3D26" w:rsidP="007D2D36">
      <w:pPr>
        <w:pStyle w:val="ListParagraph"/>
        <w:numPr>
          <w:ilvl w:val="0"/>
          <w:numId w:val="10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Court’s Docket Sheet (trial and habeas)</w:t>
      </w:r>
    </w:p>
    <w:p w:rsidR="00F74AFA" w:rsidRPr="007A3D26" w:rsidRDefault="007A3D26" w:rsidP="007D2D36">
      <w:pPr>
        <w:pStyle w:val="ListParagraph"/>
        <w:numPr>
          <w:ilvl w:val="0"/>
          <w:numId w:val="10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Jury Charge</w:t>
      </w:r>
    </w:p>
    <w:p w:rsidR="00F74AFA" w:rsidRPr="007A3D26" w:rsidRDefault="007A3D26" w:rsidP="007D2D36">
      <w:pPr>
        <w:pStyle w:val="ListParagraph"/>
        <w:numPr>
          <w:ilvl w:val="0"/>
          <w:numId w:val="10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Verdict Form</w:t>
      </w:r>
    </w:p>
    <w:p w:rsidR="00F74AFA" w:rsidRPr="007A3D26" w:rsidRDefault="007A3D26" w:rsidP="007D2D36">
      <w:pPr>
        <w:pStyle w:val="ListParagraph"/>
        <w:numPr>
          <w:ilvl w:val="0"/>
          <w:numId w:val="10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Judgment</w:t>
      </w:r>
    </w:p>
    <w:p w:rsidR="00F74AFA" w:rsidRPr="007A3D26" w:rsidRDefault="007A3D26" w:rsidP="007D2D36">
      <w:pPr>
        <w:pStyle w:val="ListParagraph"/>
        <w:numPr>
          <w:ilvl w:val="0"/>
          <w:numId w:val="10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Findings and Conclusions, if any</w:t>
      </w:r>
    </w:p>
    <w:p w:rsidR="00F74AFA" w:rsidRPr="007A3D26" w:rsidRDefault="007A3D26" w:rsidP="007D2D36">
      <w:pPr>
        <w:pStyle w:val="ListParagraph"/>
        <w:numPr>
          <w:ilvl w:val="0"/>
          <w:numId w:val="10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Answer from State</w:t>
      </w:r>
    </w:p>
    <w:p w:rsidR="00F74AFA" w:rsidRPr="007A3D26" w:rsidRDefault="007A3D26" w:rsidP="007D2D36">
      <w:pPr>
        <w:pStyle w:val="ListParagraph"/>
        <w:numPr>
          <w:ilvl w:val="0"/>
          <w:numId w:val="10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 xml:space="preserve">Objections </w:t>
      </w:r>
    </w:p>
    <w:p w:rsidR="004D3A3E" w:rsidRPr="007A3D26" w:rsidRDefault="004D3A3E" w:rsidP="007D2D36">
      <w:pPr>
        <w:pStyle w:val="ListParagraph"/>
        <w:numPr>
          <w:ilvl w:val="0"/>
          <w:numId w:val="10"/>
        </w:numPr>
        <w:ind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Transcript of any Evidentiary Hearing (the county assumes the cost)</w:t>
      </w:r>
    </w:p>
    <w:p w:rsidR="007D2D36" w:rsidRDefault="004D3A3E" w:rsidP="007D2D36">
      <w:pPr>
        <w:pStyle w:val="ListParagraph"/>
        <w:numPr>
          <w:ilvl w:val="0"/>
          <w:numId w:val="12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Are there sealed records that need to be forwarded?</w:t>
      </w:r>
    </w:p>
    <w:p w:rsidR="004D3A3E" w:rsidRPr="007D2D36" w:rsidRDefault="004D3A3E" w:rsidP="007D2D36">
      <w:pPr>
        <w:pStyle w:val="ListParagraph"/>
        <w:numPr>
          <w:ilvl w:val="0"/>
          <w:numId w:val="12"/>
        </w:numPr>
        <w:ind w:right="-432"/>
        <w:rPr>
          <w:rFonts w:ascii="Arial" w:hAnsi="Arial" w:cs="Arial"/>
          <w:sz w:val="28"/>
          <w:szCs w:val="28"/>
        </w:rPr>
      </w:pPr>
      <w:r w:rsidRPr="007D2D36">
        <w:rPr>
          <w:rFonts w:ascii="Arial" w:hAnsi="Arial" w:cs="Arial"/>
          <w:sz w:val="28"/>
          <w:szCs w:val="28"/>
        </w:rPr>
        <w:t xml:space="preserve">If yes, make sure they are physically sealed and do not post them on your online docket.  </w:t>
      </w:r>
    </w:p>
    <w:p w:rsidR="004D3A3E" w:rsidRPr="007A3D26" w:rsidRDefault="004D3A3E" w:rsidP="004D3A3E">
      <w:pPr>
        <w:pStyle w:val="ListParagraph"/>
        <w:numPr>
          <w:ilvl w:val="0"/>
          <w:numId w:val="12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Have all documents that are part of the writ</w:t>
      </w:r>
      <w:r w:rsidR="007D2D36">
        <w:rPr>
          <w:rFonts w:ascii="Arial" w:hAnsi="Arial" w:cs="Arial"/>
          <w:sz w:val="28"/>
          <w:szCs w:val="28"/>
        </w:rPr>
        <w:t xml:space="preserve"> record included?  This excludes</w:t>
      </w:r>
      <w:r w:rsidRPr="007A3D26">
        <w:rPr>
          <w:rFonts w:ascii="Arial" w:hAnsi="Arial" w:cs="Arial"/>
          <w:sz w:val="28"/>
          <w:szCs w:val="28"/>
        </w:rPr>
        <w:t xml:space="preserve"> the reporter’s and clerk’s records, unless requested by the CCA</w:t>
      </w:r>
      <w:r w:rsidR="007D2D36">
        <w:rPr>
          <w:rFonts w:ascii="Arial" w:hAnsi="Arial" w:cs="Arial"/>
          <w:sz w:val="28"/>
          <w:szCs w:val="28"/>
        </w:rPr>
        <w:t xml:space="preserve"> or the trial court used them in issuing findings and conclusions</w:t>
      </w:r>
      <w:r w:rsidRPr="007A3D26">
        <w:rPr>
          <w:rFonts w:ascii="Arial" w:hAnsi="Arial" w:cs="Arial"/>
          <w:sz w:val="28"/>
          <w:szCs w:val="28"/>
        </w:rPr>
        <w:t xml:space="preserve">. </w:t>
      </w:r>
    </w:p>
    <w:p w:rsidR="00220345" w:rsidRPr="007A3D26" w:rsidRDefault="00220345" w:rsidP="004D3A3E">
      <w:pPr>
        <w:pStyle w:val="ListParagraph"/>
        <w:numPr>
          <w:ilvl w:val="0"/>
          <w:numId w:val="12"/>
        </w:numPr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 xml:space="preserve">If the applicant has notified you of a change </w:t>
      </w:r>
      <w:r w:rsidR="0026332B" w:rsidRPr="007A3D26">
        <w:rPr>
          <w:rFonts w:ascii="Arial" w:hAnsi="Arial" w:cs="Arial"/>
          <w:sz w:val="28"/>
          <w:szCs w:val="28"/>
        </w:rPr>
        <w:t xml:space="preserve">of </w:t>
      </w:r>
      <w:r w:rsidRPr="007A3D26">
        <w:rPr>
          <w:rFonts w:ascii="Arial" w:hAnsi="Arial" w:cs="Arial"/>
          <w:sz w:val="28"/>
          <w:szCs w:val="28"/>
        </w:rPr>
        <w:t>address, notify the CCA.</w:t>
      </w:r>
    </w:p>
    <w:p w:rsidR="004D3A3E" w:rsidRPr="007A3D26" w:rsidRDefault="004D3A3E" w:rsidP="004D3A3E">
      <w:pPr>
        <w:ind w:left="-432" w:right="-432"/>
        <w:rPr>
          <w:rFonts w:ascii="Arial" w:hAnsi="Arial" w:cs="Arial"/>
          <w:sz w:val="28"/>
          <w:szCs w:val="28"/>
        </w:rPr>
      </w:pPr>
    </w:p>
    <w:p w:rsidR="004D3A3E" w:rsidRPr="007A3D26" w:rsidRDefault="007A3D26" w:rsidP="004D3A3E">
      <w:pPr>
        <w:spacing w:after="0"/>
        <w:ind w:left="-432" w:right="-4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Wrapping it Up</w:t>
      </w:r>
    </w:p>
    <w:p w:rsidR="004D3A3E" w:rsidRPr="007A3D26" w:rsidRDefault="004D3A3E" w:rsidP="004D3A3E">
      <w:pPr>
        <w:spacing w:after="0"/>
        <w:ind w:left="-432" w:right="-432"/>
        <w:jc w:val="center"/>
        <w:rPr>
          <w:rFonts w:ascii="Arial" w:hAnsi="Arial" w:cs="Arial"/>
          <w:b/>
          <w:sz w:val="28"/>
          <w:szCs w:val="28"/>
        </w:rPr>
      </w:pPr>
    </w:p>
    <w:p w:rsidR="004D3A3E" w:rsidRPr="007A3D26" w:rsidRDefault="004D3A3E" w:rsidP="004D3A3E">
      <w:pPr>
        <w:pStyle w:val="ListParagraph"/>
        <w:numPr>
          <w:ilvl w:val="0"/>
          <w:numId w:val="12"/>
        </w:numPr>
        <w:spacing w:after="0"/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Bound and certified?</w:t>
      </w:r>
    </w:p>
    <w:p w:rsidR="004D3A3E" w:rsidRPr="007A3D26" w:rsidRDefault="004D3A3E" w:rsidP="004D3A3E">
      <w:pPr>
        <w:pStyle w:val="ListParagraph"/>
        <w:numPr>
          <w:ilvl w:val="0"/>
          <w:numId w:val="12"/>
        </w:numPr>
        <w:spacing w:after="0"/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Include</w:t>
      </w:r>
      <w:r w:rsidR="007545B5" w:rsidRPr="007A3D26">
        <w:rPr>
          <w:rFonts w:ascii="Arial" w:hAnsi="Arial" w:cs="Arial"/>
          <w:sz w:val="28"/>
          <w:szCs w:val="28"/>
        </w:rPr>
        <w:t>d</w:t>
      </w:r>
      <w:r w:rsidRPr="007A3D26">
        <w:rPr>
          <w:rFonts w:ascii="Arial" w:hAnsi="Arial" w:cs="Arial"/>
          <w:sz w:val="28"/>
          <w:szCs w:val="28"/>
        </w:rPr>
        <w:t xml:space="preserve"> certification with electronic copy?</w:t>
      </w:r>
    </w:p>
    <w:p w:rsidR="004D3A3E" w:rsidRPr="007A3D26" w:rsidRDefault="004D3A3E" w:rsidP="004D3A3E">
      <w:pPr>
        <w:pStyle w:val="ListParagraph"/>
        <w:numPr>
          <w:ilvl w:val="0"/>
          <w:numId w:val="12"/>
        </w:numPr>
        <w:spacing w:after="0"/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Table of Contents?</w:t>
      </w:r>
    </w:p>
    <w:p w:rsidR="004D3A3E" w:rsidRPr="007A3D26" w:rsidRDefault="004D3A3E" w:rsidP="004D3A3E">
      <w:pPr>
        <w:pStyle w:val="ListParagraph"/>
        <w:numPr>
          <w:ilvl w:val="0"/>
          <w:numId w:val="12"/>
        </w:numPr>
        <w:spacing w:after="0"/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>Bookmark electronic copy?</w:t>
      </w:r>
    </w:p>
    <w:p w:rsidR="004D3A3E" w:rsidRPr="007A3D26" w:rsidRDefault="004D3A3E" w:rsidP="004D3A3E">
      <w:pPr>
        <w:pStyle w:val="ListParagraph"/>
        <w:numPr>
          <w:ilvl w:val="1"/>
          <w:numId w:val="12"/>
        </w:numPr>
        <w:spacing w:after="0"/>
        <w:ind w:left="-432" w:right="-432"/>
        <w:rPr>
          <w:rFonts w:ascii="Arial" w:hAnsi="Arial" w:cs="Arial"/>
          <w:sz w:val="28"/>
          <w:szCs w:val="28"/>
        </w:rPr>
      </w:pPr>
      <w:r w:rsidRPr="007A3D26">
        <w:rPr>
          <w:rFonts w:ascii="Arial" w:hAnsi="Arial" w:cs="Arial"/>
          <w:sz w:val="28"/>
          <w:szCs w:val="28"/>
        </w:rPr>
        <w:t xml:space="preserve">Forward paper copies within 3 days. </w:t>
      </w:r>
    </w:p>
    <w:p w:rsidR="004D3A3E" w:rsidRPr="007A3D26" w:rsidRDefault="004D3A3E" w:rsidP="004D3A3E">
      <w:pPr>
        <w:spacing w:after="0"/>
        <w:ind w:left="-432" w:right="-432"/>
        <w:rPr>
          <w:rFonts w:ascii="Arial" w:hAnsi="Arial" w:cs="Arial"/>
          <w:sz w:val="28"/>
          <w:szCs w:val="28"/>
        </w:rPr>
      </w:pPr>
    </w:p>
    <w:sectPr w:rsidR="004D3A3E" w:rsidRPr="007A3D26" w:rsidSect="007D2D36"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D0" w:rsidRDefault="00695FD0" w:rsidP="00A71194">
      <w:pPr>
        <w:spacing w:after="0" w:line="240" w:lineRule="auto"/>
      </w:pPr>
      <w:r>
        <w:separator/>
      </w:r>
    </w:p>
  </w:endnote>
  <w:endnote w:type="continuationSeparator" w:id="0">
    <w:p w:rsidR="00695FD0" w:rsidRDefault="00695FD0" w:rsidP="00A7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66"/>
      <w:gridCol w:w="482"/>
    </w:tblGrid>
    <w:tr w:rsidR="00A71194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-850486014"/>
            <w:placeholder>
              <w:docPart w:val="DE941606EBF24610B22792B13528E45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A71194" w:rsidRDefault="00A71194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Stacey M. Soule, STATE PROSECUTING ATTORNEY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A71194" w:rsidRDefault="00A7119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7D2D36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71194" w:rsidRDefault="00A7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D0" w:rsidRDefault="00695FD0" w:rsidP="00A71194">
      <w:pPr>
        <w:spacing w:after="0" w:line="240" w:lineRule="auto"/>
      </w:pPr>
      <w:r>
        <w:separator/>
      </w:r>
    </w:p>
  </w:footnote>
  <w:footnote w:type="continuationSeparator" w:id="0">
    <w:p w:rsidR="00695FD0" w:rsidRDefault="00695FD0" w:rsidP="00A7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EBC"/>
    <w:multiLevelType w:val="hybridMultilevel"/>
    <w:tmpl w:val="A86491CE"/>
    <w:lvl w:ilvl="0" w:tplc="6CEAC4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1AE3"/>
    <w:multiLevelType w:val="hybridMultilevel"/>
    <w:tmpl w:val="3C32DB34"/>
    <w:lvl w:ilvl="0" w:tplc="04090003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" w15:restartNumberingAfterBreak="0">
    <w:nsid w:val="2785573F"/>
    <w:multiLevelType w:val="hybridMultilevel"/>
    <w:tmpl w:val="AF9C94F2"/>
    <w:lvl w:ilvl="0" w:tplc="6CEAC4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06EEA"/>
    <w:multiLevelType w:val="hybridMultilevel"/>
    <w:tmpl w:val="CC30FA7E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3976110A"/>
    <w:multiLevelType w:val="hybridMultilevel"/>
    <w:tmpl w:val="C510B420"/>
    <w:lvl w:ilvl="0" w:tplc="E6A250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B0D42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300A6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7AF3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0234B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22153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C2DA2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4A729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0E981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C2635F5"/>
    <w:multiLevelType w:val="hybridMultilevel"/>
    <w:tmpl w:val="6C9E74C6"/>
    <w:lvl w:ilvl="0" w:tplc="6CEAC47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E31D0F"/>
    <w:multiLevelType w:val="hybridMultilevel"/>
    <w:tmpl w:val="F25E802C"/>
    <w:lvl w:ilvl="0" w:tplc="6CEAC4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45075"/>
    <w:multiLevelType w:val="hybridMultilevel"/>
    <w:tmpl w:val="B7AA7D48"/>
    <w:lvl w:ilvl="0" w:tplc="6CEAC4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A944F6"/>
    <w:multiLevelType w:val="hybridMultilevel"/>
    <w:tmpl w:val="8724F864"/>
    <w:lvl w:ilvl="0" w:tplc="6CEAC4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E2BE3"/>
    <w:multiLevelType w:val="hybridMultilevel"/>
    <w:tmpl w:val="052236FA"/>
    <w:lvl w:ilvl="0" w:tplc="6CEAC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187A70"/>
    <w:multiLevelType w:val="hybridMultilevel"/>
    <w:tmpl w:val="E2A8D8DE"/>
    <w:lvl w:ilvl="0" w:tplc="6CEAC4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F2E57"/>
    <w:multiLevelType w:val="hybridMultilevel"/>
    <w:tmpl w:val="BDDE67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56C12"/>
    <w:multiLevelType w:val="hybridMultilevel"/>
    <w:tmpl w:val="973098FA"/>
    <w:lvl w:ilvl="0" w:tplc="6CEAC4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1D"/>
    <w:rsid w:val="000673E3"/>
    <w:rsid w:val="00097AD6"/>
    <w:rsid w:val="00220345"/>
    <w:rsid w:val="0026332B"/>
    <w:rsid w:val="00265511"/>
    <w:rsid w:val="002D4B48"/>
    <w:rsid w:val="0036131D"/>
    <w:rsid w:val="00394EF5"/>
    <w:rsid w:val="004D3A3E"/>
    <w:rsid w:val="00695FD0"/>
    <w:rsid w:val="006C2A17"/>
    <w:rsid w:val="006D02D0"/>
    <w:rsid w:val="007124AD"/>
    <w:rsid w:val="007545B5"/>
    <w:rsid w:val="007A3D26"/>
    <w:rsid w:val="007D2D36"/>
    <w:rsid w:val="009A36A3"/>
    <w:rsid w:val="00A71194"/>
    <w:rsid w:val="00AB5C3E"/>
    <w:rsid w:val="00EA0C34"/>
    <w:rsid w:val="00F74AFA"/>
    <w:rsid w:val="00F85EF9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9A541"/>
  <w15:chartTrackingRefBased/>
  <w15:docId w15:val="{7B43B86B-2BC3-43A7-BBBB-526C867A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124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Handwriting" w:eastAsiaTheme="majorEastAsia" w:hAnsi="Lucida Handwriting" w:cstheme="majorBidi"/>
      <w:sz w:val="36"/>
      <w:szCs w:val="24"/>
    </w:rPr>
  </w:style>
  <w:style w:type="paragraph" w:styleId="ListParagraph">
    <w:name w:val="List Paragraph"/>
    <w:basedOn w:val="Normal"/>
    <w:uiPriority w:val="34"/>
    <w:qFormat/>
    <w:rsid w:val="00361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94"/>
  </w:style>
  <w:style w:type="paragraph" w:styleId="Footer">
    <w:name w:val="footer"/>
    <w:basedOn w:val="Normal"/>
    <w:link w:val="FooterChar"/>
    <w:uiPriority w:val="99"/>
    <w:unhideWhenUsed/>
    <w:rsid w:val="00A7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94"/>
  </w:style>
  <w:style w:type="paragraph" w:styleId="BalloonText">
    <w:name w:val="Balloon Text"/>
    <w:basedOn w:val="Normal"/>
    <w:link w:val="BalloonTextChar"/>
    <w:uiPriority w:val="99"/>
    <w:semiHidden/>
    <w:unhideWhenUsed/>
    <w:rsid w:val="00A7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60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0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2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1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11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9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8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07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2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06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941606EBF24610B22792B13528E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78147-A98A-4079-BACB-8E88BB936D0F}"/>
      </w:docPartPr>
      <w:docPartBody>
        <w:p w:rsidR="00A333AE" w:rsidRDefault="00B43752" w:rsidP="00B43752">
          <w:pPr>
            <w:pStyle w:val="DE941606EBF24610B22792B13528E45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52"/>
    <w:rsid w:val="00497F74"/>
    <w:rsid w:val="00A333AE"/>
    <w:rsid w:val="00B43752"/>
    <w:rsid w:val="00D3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941606EBF24610B22792B13528E45D">
    <w:name w:val="DE941606EBF24610B22792B13528E45D"/>
    <w:rsid w:val="00B43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M. Soule, STATE PROSECUTING ATTORNEY</dc:creator>
  <cp:keywords/>
  <dc:description/>
  <cp:lastModifiedBy>Stacey Soule</cp:lastModifiedBy>
  <cp:revision>13</cp:revision>
  <cp:lastPrinted>2017-02-07T14:50:00Z</cp:lastPrinted>
  <dcterms:created xsi:type="dcterms:W3CDTF">2017-02-02T18:53:00Z</dcterms:created>
  <dcterms:modified xsi:type="dcterms:W3CDTF">2017-02-07T20:10:00Z</dcterms:modified>
</cp:coreProperties>
</file>